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4E" w:rsidRPr="0062164E" w:rsidRDefault="0062164E" w:rsidP="0062164E">
      <w:pPr>
        <w:jc w:val="center"/>
        <w:rPr>
          <w:rFonts w:ascii="Times New Roman" w:hAnsi="Times New Roman" w:cs="Times New Roman"/>
          <w:b/>
          <w:sz w:val="30"/>
          <w:szCs w:val="30"/>
        </w:rPr>
      </w:pPr>
      <w:bookmarkStart w:id="0" w:name="_GoBack"/>
      <w:bookmarkEnd w:id="0"/>
      <w:r w:rsidRPr="0062164E">
        <w:rPr>
          <w:rFonts w:ascii="Times New Roman" w:hAnsi="Times New Roman" w:cs="Times New Roman"/>
          <w:b/>
          <w:sz w:val="30"/>
          <w:szCs w:val="30"/>
        </w:rPr>
        <w:t xml:space="preserve">Изменения в законодательстве о борьбе с коррупцией: обзор изменений Закона от 30.12.2022 N 232-З </w:t>
      </w:r>
      <w:r w:rsidR="00076A4E">
        <w:rPr>
          <w:rFonts w:ascii="Times New Roman" w:hAnsi="Times New Roman" w:cs="Times New Roman"/>
          <w:b/>
          <w:sz w:val="30"/>
          <w:szCs w:val="30"/>
        </w:rPr>
        <w:t>«</w:t>
      </w:r>
      <w:r w:rsidRPr="0062164E">
        <w:rPr>
          <w:rFonts w:ascii="Times New Roman" w:hAnsi="Times New Roman" w:cs="Times New Roman"/>
          <w:b/>
          <w:sz w:val="30"/>
          <w:szCs w:val="30"/>
        </w:rPr>
        <w:t xml:space="preserve">Об изменении </w:t>
      </w:r>
      <w:proofErr w:type="gramStart"/>
      <w:r w:rsidRPr="0062164E">
        <w:rPr>
          <w:rFonts w:ascii="Times New Roman" w:hAnsi="Times New Roman" w:cs="Times New Roman"/>
          <w:b/>
          <w:sz w:val="30"/>
          <w:szCs w:val="30"/>
        </w:rPr>
        <w:t>законов по вопросам</w:t>
      </w:r>
      <w:proofErr w:type="gramEnd"/>
      <w:r w:rsidRPr="0062164E">
        <w:rPr>
          <w:rFonts w:ascii="Times New Roman" w:hAnsi="Times New Roman" w:cs="Times New Roman"/>
          <w:b/>
          <w:sz w:val="30"/>
          <w:szCs w:val="30"/>
        </w:rPr>
        <w:t xml:space="preserve"> борьбы с коррупцией</w:t>
      </w:r>
      <w:r w:rsidR="00076A4E">
        <w:rPr>
          <w:rFonts w:ascii="Times New Roman" w:hAnsi="Times New Roman" w:cs="Times New Roman"/>
          <w:b/>
          <w:sz w:val="30"/>
          <w:szCs w:val="30"/>
        </w:rPr>
        <w:t>»</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Коррупция является серьезной общественно-политической проблемой и признана одним из источников угроз национальной безопасности, отметил генеральный прокурор Андрей Швед, представляя сенаторам тогда еще законопроект "Об изменении </w:t>
      </w:r>
      <w:proofErr w:type="gramStart"/>
      <w:r w:rsidRPr="0062164E">
        <w:rPr>
          <w:rFonts w:ascii="Times New Roman" w:hAnsi="Times New Roman" w:cs="Times New Roman"/>
          <w:sz w:val="30"/>
          <w:szCs w:val="30"/>
        </w:rPr>
        <w:t>законов по вопросам</w:t>
      </w:r>
      <w:proofErr w:type="gramEnd"/>
      <w:r w:rsidRPr="0062164E">
        <w:rPr>
          <w:rFonts w:ascii="Times New Roman" w:hAnsi="Times New Roman" w:cs="Times New Roman"/>
          <w:sz w:val="30"/>
          <w:szCs w:val="30"/>
        </w:rPr>
        <w:t xml:space="preserve"> борьбы с коррупцией". Поэтому наряду с выявлением и пресечением преступлений особое значение имеет, конечно же, их профилактика, заметил он. Именно на предупреждение коррупции нацелены организационно-правовые меры, принимаемые в стране в последние годы. Изменения, внесенные законом №232-З от 30 декабря 2022 года, не связаны с корректировкой концептуальных положений антикоррупционного законодательства, а направлены на совершенствование профилактических механизмов противодействия коррупции, оптимизацию взаимодействия в этой сфере. </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Внесены изменения в закон от 15 июля 2015 года №305-З "О борьбе с коррупцией". Скорректированы соответствующие положения Гражданского кодекса и Трудового кодекса Беларуси, закона от 17 декабря 1992 года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Так, в ст.1 закона о борьбе с коррупцией введены определения терминов "организационно-распорядительные и административно-хозяйственные обязанности", что имеет значение при определении субъекта коррупционного правонарушения и привлечении лица к ответственности. Такое дополнение будет способствовать обеспечению единства правоприменительной практики, позволит устранить имеющиеся проблемные вопросы в </w:t>
      </w:r>
      <w:proofErr w:type="spellStart"/>
      <w:r w:rsidRPr="0062164E">
        <w:rPr>
          <w:rFonts w:ascii="Times New Roman" w:hAnsi="Times New Roman" w:cs="Times New Roman"/>
          <w:sz w:val="30"/>
          <w:szCs w:val="30"/>
        </w:rPr>
        <w:t>правоприменении</w:t>
      </w:r>
      <w:proofErr w:type="spellEnd"/>
      <w:r w:rsidRPr="0062164E">
        <w:rPr>
          <w:rFonts w:ascii="Times New Roman" w:hAnsi="Times New Roman" w:cs="Times New Roman"/>
          <w:sz w:val="30"/>
          <w:szCs w:val="30"/>
        </w:rPr>
        <w:t>.</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Предотвратить конфликт интересов</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Практика работы правоохранительных органов свидетельствует о том, что большинство коррупционных правонарушений совершается в ситуации наличия конфликта интересов у государственного должностного лица, являющегося правонарушителем.</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Один из основных антикоррупционных механизмов, призванных предупредить противоправное поведение лица, - институт предотвращения и урегулирования конфликта интересов. Однако его профилактический потенциал задействован незначительно.</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Для совершенствования правового регулирования этого института перечень субъектов, интересы которых влияют или могут повлиять на надлежащее исполнение государственным должностным лицом своих служебных (трудовых) обязанностей, дополнен свойственниками и супругами детей указанного лица.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На эффективность управления конфликтом интересов негативно влияет отсутствие процедуры ознакомления государственных должностных лиц с установленным порядком предотвращения и урегулирования таких конфликтов.</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При назначении государственных должностных лиц в обязательном порядке от них теперь не только будут получать обязательства по соблюдению антикоррупционных ограничений, предусмотренных в ст.16 закона о борьбе с коррупцией, но и </w:t>
      </w:r>
      <w:proofErr w:type="spellStart"/>
      <w:r w:rsidRPr="0062164E">
        <w:rPr>
          <w:rFonts w:ascii="Times New Roman" w:hAnsi="Times New Roman" w:cs="Times New Roman"/>
          <w:sz w:val="30"/>
          <w:szCs w:val="30"/>
        </w:rPr>
        <w:t>ознакамливать</w:t>
      </w:r>
      <w:proofErr w:type="spellEnd"/>
      <w:r w:rsidRPr="0062164E">
        <w:rPr>
          <w:rFonts w:ascii="Times New Roman" w:hAnsi="Times New Roman" w:cs="Times New Roman"/>
          <w:sz w:val="30"/>
          <w:szCs w:val="30"/>
        </w:rPr>
        <w:t xml:space="preserve"> их с установленным порядком предотвращения и урегулирования конфликта интересов.</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Дополнен перечень субъектов, которых необходимо уведомить о конфликте интересов, внесены изменения, устанавливающие последствия нарушения порядка предотвращения и урегулирования конфликта интересов для всех категорий государственных должностных лиц независимо от наличия у них статуса государственного служащего - привлечение к дисциплинарной ответственности вплоть до увольнения.</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Взаимодействие госорганов</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В настоящее время взаимодействие государственных органов и иных организаций в сфере борьбы с коррупцией осуществляется преимущественно путем передачи правоохранительным органам </w:t>
      </w:r>
      <w:r w:rsidRPr="0062164E">
        <w:rPr>
          <w:rFonts w:ascii="Times New Roman" w:hAnsi="Times New Roman" w:cs="Times New Roman"/>
          <w:sz w:val="30"/>
          <w:szCs w:val="30"/>
        </w:rPr>
        <w:lastRenderedPageBreak/>
        <w:t>информации о факте, свидетельствующем о коррупции (ст.10 закона о борьбе с коррупцией).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Теперь закреплена новая форма взаимодействия, которая позволит государственному органу, иной организации получать от правоохранительных органов сведения о коррупционных деяниях работников. Это позволит руководителям своевременно получать информацию в отношении подчиненных и принимать меры по предупреждению правонарушений, а также устранению их причин и условий.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Кроме того,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Один из актуальных вопросов - ограничение права на участие государственных должностных лиц в деятельности органов управления дочерней организации.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Генеральную прокуратуру из государственных органов и иных организаций поступает значительное количество обращений об участии государственных должностных лиц в деятельности органов управления дочерней организации. В настоящее время возможность такого участия ограничена абзацем шестым ч.1 ст.17 закона о борьбе с коррупцией. Вместе с тем в ряде случаев есть объективная необходимость в представительстве интересов основной организации в органах управления дочерней.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Ранее исключение из этого запрета могло быть установлено только законодательным актом (закон, декрет, указ) - теперь предусмотрена возможность решить данный вопрос также на уровне правовых актов Совета Министров.</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 сувенирах и подарках</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Исключено понятие "сувенир", при этом в законе дано определение понятиям "протокольные и иные официальные мероприятия", "подарок, полученный при проведении протокольного и иного официального мероприятия", поскольку в практической деятельности возникали трудности по соблюдению ограничения на получение имущества (подарков).</w:t>
      </w:r>
    </w:p>
    <w:p w:rsidR="0062164E" w:rsidRPr="0062164E" w:rsidRDefault="0062164E" w:rsidP="0062164E">
      <w:pPr>
        <w:spacing w:after="0"/>
        <w:jc w:val="both"/>
        <w:rPr>
          <w:rFonts w:ascii="Times New Roman" w:hAnsi="Times New Roman" w:cs="Times New Roman"/>
          <w:sz w:val="30"/>
          <w:szCs w:val="30"/>
        </w:rPr>
      </w:pPr>
      <w:r w:rsidRPr="0062164E">
        <w:rPr>
          <w:rFonts w:ascii="Times New Roman" w:hAnsi="Times New Roman" w:cs="Times New Roman"/>
          <w:sz w:val="30"/>
          <w:szCs w:val="30"/>
        </w:rPr>
        <w:lastRenderedPageBreak/>
        <w:t>Одновременно с 5 до 20 базовых величин повышена допустимая стоимость такого подарка.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Запрет на дарение подарков свыше указанной стоимости установлен и в гражданском законодательстве (ст.546 Гражданского кодекса Беларуси).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Эти ограничения не затрагивают получение подарков в частной жизни (семейные, дружеские и иные отношения).</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Внесены изменения в ст.17 закона о борьбе с коррупцией - антикоррупционные требования теперь распространены на супругу (супруга), близких родственников, супругов детей либо свойственников государственного должностного или приравненного к нему лица вне зависимости от места проживания и ведения ими общего хозяйства.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Внесение изменений основано на необходимости устранить коррупционный риск незаконного обогащения супруга (супруги), близких родственников, супругов детей или свойственников государственных должностных и приравненных к ним лиц в связи с исполнением </w:t>
      </w:r>
      <w:proofErr w:type="gramStart"/>
      <w:r w:rsidRPr="0062164E">
        <w:rPr>
          <w:rFonts w:ascii="Times New Roman" w:hAnsi="Times New Roman" w:cs="Times New Roman"/>
          <w:sz w:val="30"/>
          <w:szCs w:val="30"/>
        </w:rPr>
        <w:t>последними</w:t>
      </w:r>
      <w:proofErr w:type="gramEnd"/>
      <w:r w:rsidRPr="0062164E">
        <w:rPr>
          <w:rFonts w:ascii="Times New Roman" w:hAnsi="Times New Roman" w:cs="Times New Roman"/>
          <w:sz w:val="30"/>
          <w:szCs w:val="30"/>
        </w:rPr>
        <w:t xml:space="preserve"> служебных обязанностей. Факт совместного проживания указанных лиц не влияет на возможность противоправного получения ими материальных выгод в связи с исполнением государственными должностными и приравненными к ним лицами служебных (трудовых) обязанностей.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Иные антикоррупционные ограничения, предусмотренные в ст.17 закона о борьбе с коррупцией, также не связаны с фактом совместного проживания и ведения совместного хозяйства.</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Ограничение по совместной службе</w:t>
      </w:r>
    </w:p>
    <w:p w:rsidR="0062164E" w:rsidRPr="0062164E" w:rsidRDefault="0062164E" w:rsidP="0062164E">
      <w:pPr>
        <w:spacing w:after="0"/>
        <w:ind w:firstLine="708"/>
        <w:jc w:val="both"/>
        <w:rPr>
          <w:rFonts w:ascii="Times New Roman" w:hAnsi="Times New Roman" w:cs="Times New Roman"/>
          <w:sz w:val="30"/>
          <w:szCs w:val="30"/>
        </w:rPr>
      </w:pPr>
      <w:proofErr w:type="gramStart"/>
      <w:r w:rsidRPr="0062164E">
        <w:rPr>
          <w:rFonts w:ascii="Times New Roman" w:hAnsi="Times New Roman" w:cs="Times New Roman"/>
          <w:sz w:val="30"/>
          <w:szCs w:val="30"/>
        </w:rPr>
        <w:t>Ограничение по совместной службе (работе) супругов, близких родственников или свойственников, определенное в ст.18 закона о борьбе с коррупцией, теперь распространено на работу не только в государственных органах и организациях, но и в организациях, в уставном фонде которых 50 и более процентов долей (акций) находятся в собственности государства и (или) его административно-территориальных единиц.</w:t>
      </w:r>
      <w:proofErr w:type="gramEnd"/>
      <w:r w:rsidRPr="0062164E">
        <w:rPr>
          <w:rFonts w:ascii="Times New Roman" w:hAnsi="Times New Roman" w:cs="Times New Roman"/>
          <w:sz w:val="30"/>
          <w:szCs w:val="30"/>
        </w:rPr>
        <w:t xml:space="preserve"> Работающие в организациях с преобладающей долей собственности государства также обладают статусом государственных должностных лиц.</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lastRenderedPageBreak/>
        <w:t>Такое ограничение затрагивает узкий круг субъектов: руководитель (его заместители), главный бухгалтер (его заместители) и кассир.</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Данный запрет отражен также в трудовом законодательстве (ст.27 Трудового кодекса Беларуси).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Это позволит создать предпосылки для устранения коррупционных рисков при осуществлении экономической деятельности и не ухудшит условия ведения бизнеса.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Аналогичным образом расширен запрет, а также в ст.37 закона о борьбе с коррупцией установлена ответственность за использование государственным должностным лицом в личных интересах предоставленного ему имущества. Ранее ответственность была предусмотрена за незаконное использование только имущества, находящегося в государственной собственности.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Так, имущество хозяйственных обществ, как правило, находится в собственности данных обществ и используется для обеспечения их деятельности.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Одновременно с этим Совету Министров предоставлено право </w:t>
      </w:r>
      <w:proofErr w:type="gramStart"/>
      <w:r w:rsidRPr="0062164E">
        <w:rPr>
          <w:rFonts w:ascii="Times New Roman" w:hAnsi="Times New Roman" w:cs="Times New Roman"/>
          <w:sz w:val="30"/>
          <w:szCs w:val="30"/>
        </w:rPr>
        <w:t>регламентировать</w:t>
      </w:r>
      <w:proofErr w:type="gramEnd"/>
      <w:r w:rsidRPr="0062164E">
        <w:rPr>
          <w:rFonts w:ascii="Times New Roman" w:hAnsi="Times New Roman" w:cs="Times New Roman"/>
          <w:sz w:val="30"/>
          <w:szCs w:val="30"/>
        </w:rPr>
        <w:t xml:space="preserve"> вопросы использования служебного имущества.</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Декларирование доходов и имущества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Ликвидированы избыточные требования к процедуре декларирования для повышения эффективности данного профилактического механизма, что отражено в ст.27 закона о борьбе с коррупцией.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Лица, занимающие ответственное положение или поступившие на государственную службу путем избрания, теперь имеют возможность указывать в декларации сведения о доходах и имуществе их несовершеннолетних детей без предоставления отдельной декларации.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Исключена необходимость предоставления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w:t>
      </w:r>
    </w:p>
    <w:p w:rsid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В закон о борьбе с коррупцией </w:t>
      </w:r>
      <w:proofErr w:type="gramStart"/>
      <w:r w:rsidRPr="0062164E">
        <w:rPr>
          <w:rFonts w:ascii="Times New Roman" w:hAnsi="Times New Roman" w:cs="Times New Roman"/>
          <w:sz w:val="30"/>
          <w:szCs w:val="30"/>
        </w:rPr>
        <w:t>введена</w:t>
      </w:r>
      <w:proofErr w:type="gramEnd"/>
      <w:r w:rsidRPr="0062164E">
        <w:rPr>
          <w:rFonts w:ascii="Times New Roman" w:hAnsi="Times New Roman" w:cs="Times New Roman"/>
          <w:sz w:val="30"/>
          <w:szCs w:val="30"/>
        </w:rPr>
        <w:t xml:space="preserve"> ст.27-1, в которой установлен перечень доходов и имущества, не подлежащих обязательному декларированию. К ним, в частности, отнесены доходы, полученные от участия в различных бонусных программах, предлагаемых банками, организациями торговли и сервиса, от продажи </w:t>
      </w:r>
      <w:r w:rsidRPr="0062164E">
        <w:rPr>
          <w:rFonts w:ascii="Times New Roman" w:hAnsi="Times New Roman" w:cs="Times New Roman"/>
          <w:sz w:val="30"/>
          <w:szCs w:val="30"/>
        </w:rPr>
        <w:lastRenderedPageBreak/>
        <w:t xml:space="preserve">имущества стоимостью не </w:t>
      </w:r>
      <w:proofErr w:type="gramStart"/>
      <w:r w:rsidRPr="0062164E">
        <w:rPr>
          <w:rFonts w:ascii="Times New Roman" w:hAnsi="Times New Roman" w:cs="Times New Roman"/>
          <w:sz w:val="30"/>
          <w:szCs w:val="30"/>
        </w:rPr>
        <w:t>более сорока</w:t>
      </w:r>
      <w:proofErr w:type="gramEnd"/>
      <w:r w:rsidRPr="0062164E">
        <w:rPr>
          <w:rFonts w:ascii="Times New Roman" w:hAnsi="Times New Roman" w:cs="Times New Roman"/>
          <w:sz w:val="30"/>
          <w:szCs w:val="30"/>
        </w:rPr>
        <w:t xml:space="preserve"> базовых величин, а также имущество, полученное в качестве подарков, стоимость каждого из которых не превышает 250-кратного размера базовой величины, цифровые знаки (</w:t>
      </w:r>
      <w:proofErr w:type="spellStart"/>
      <w:r w:rsidRPr="0062164E">
        <w:rPr>
          <w:rFonts w:ascii="Times New Roman" w:hAnsi="Times New Roman" w:cs="Times New Roman"/>
          <w:sz w:val="30"/>
          <w:szCs w:val="30"/>
        </w:rPr>
        <w:t>токены</w:t>
      </w:r>
      <w:proofErr w:type="spellEnd"/>
      <w:r w:rsidRPr="0062164E">
        <w:rPr>
          <w:rFonts w:ascii="Times New Roman" w:hAnsi="Times New Roman" w:cs="Times New Roman"/>
          <w:sz w:val="30"/>
          <w:szCs w:val="30"/>
        </w:rPr>
        <w:t>).</w:t>
      </w:r>
      <w:r>
        <w:rPr>
          <w:rFonts w:ascii="Times New Roman" w:hAnsi="Times New Roman" w:cs="Times New Roman"/>
          <w:sz w:val="30"/>
          <w:szCs w:val="30"/>
        </w:rPr>
        <w:t xml:space="preserve"> </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Такие новеллы позволят упростить порядок декларирования обязанными лицами имущества незначительной стоимости, полученного в качестве подарков, в том числе в связи с исполнением служебных обязанностей, от общественных организаций, а также личных подарков.</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Ответственность юридических лиц</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Установлены общие основания ответственности юридического лица за совершение коррупционных действий от его имени либо в его интересах.</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Беларусь присоединилась к Конвенции Организации Объединенных Наций против коррупции от 31 октября 2003 года, согласно ст.26 которой каждое государство-участник обязуется установить ответственность юридических лиц за участие в преступлениях, связанных с коррупцией. В отношении юридических лиц должны применяться эффективные, соразмерные и оказывающие сдерживающее воздействие уголовные или иные санкции.</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Анализ правоприменительной практики и зарубежный опыт показал, что привлечением к уголовной ответственности только физических лиц сложно добиться положительного эффекта в противодействии коррупции. Детерминация коррупционной преступности в рыночных условиях связана в значительной степени с деятельностью юридических лиц, которые получают от совершения коррупционных сделок значительную финансовую выгоду, несопоставимую с размером индивидуального наказания виновного физического лица.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Участие в коррупции юридических лиц повышает латентность этого общественно опасного явления, так как нередко </w:t>
      </w:r>
      <w:proofErr w:type="spellStart"/>
      <w:r w:rsidRPr="0062164E">
        <w:rPr>
          <w:rFonts w:ascii="Times New Roman" w:hAnsi="Times New Roman" w:cs="Times New Roman"/>
          <w:sz w:val="30"/>
          <w:szCs w:val="30"/>
        </w:rPr>
        <w:t>юрлица</w:t>
      </w:r>
      <w:proofErr w:type="spellEnd"/>
      <w:r w:rsidRPr="0062164E">
        <w:rPr>
          <w:rFonts w:ascii="Times New Roman" w:hAnsi="Times New Roman" w:cs="Times New Roman"/>
          <w:sz w:val="30"/>
          <w:szCs w:val="30"/>
        </w:rPr>
        <w:t xml:space="preserve"> используют схемы номинального руководства, при которых лицо, фактически управляющее организацией, юридически не имеет отношения к его органам управления.</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Непосредственно административная ответственность юридического лица за передачу незаконного вознаграждения от имени </w:t>
      </w:r>
      <w:r w:rsidRPr="0062164E">
        <w:rPr>
          <w:rFonts w:ascii="Times New Roman" w:hAnsi="Times New Roman" w:cs="Times New Roman"/>
          <w:sz w:val="30"/>
          <w:szCs w:val="30"/>
        </w:rPr>
        <w:lastRenderedPageBreak/>
        <w:t>или в интересах такого лица установлена в ст.24.59 Кодекса Республики Беларусь об административных правонарушениях.</w:t>
      </w:r>
    </w:p>
    <w:p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Изъятие незаконно полученного имущества</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Усовершенствован порядок изъятия (взыскания) незаконно полученного имущества или стоимости незаконно полученных работ, оказанных услуг, предусмотренный в ст.40 закона о борьбе с коррупцией.</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качестве основания для такого изъятия (взыскания) установлен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таких средств или имущества в результате совершения коррупционного правонарушения.</w:t>
      </w:r>
    </w:p>
    <w:p w:rsidR="0062164E" w:rsidRPr="0062164E" w:rsidRDefault="0062164E" w:rsidP="0062164E">
      <w:pPr>
        <w:spacing w:after="0"/>
        <w:ind w:firstLine="708"/>
        <w:jc w:val="both"/>
        <w:rPr>
          <w:rFonts w:ascii="Times New Roman" w:hAnsi="Times New Roman" w:cs="Times New Roman"/>
          <w:sz w:val="30"/>
          <w:szCs w:val="30"/>
        </w:rPr>
      </w:pPr>
      <w:proofErr w:type="gramStart"/>
      <w:r w:rsidRPr="0062164E">
        <w:rPr>
          <w:rFonts w:ascii="Times New Roman" w:hAnsi="Times New Roman" w:cs="Times New Roman"/>
          <w:sz w:val="30"/>
          <w:szCs w:val="30"/>
        </w:rPr>
        <w:t>Усовершенствован механизм сдачи незаконно принятого имущества близкими лицами государственного должностного или приравненного к нему лица, в том числе применительно к ситуациям, в которых государственное должностное или приравненное к нему лицо отказывается добровольно сдать (перечислить) незаконно принятые им или его супругом (супругой), близкими родственниками или свойственниками и супругами детей денежные средства, имущество либо возместить его стоимость.</w:t>
      </w:r>
      <w:proofErr w:type="gramEnd"/>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При этом общие подходы к правовому регулированию вопросов изъятия (взыскания) незаконно полученного имущества или стоимости незаконно полученных работ (оказанных услуг) концептуально не изменились.</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случае совершения коррупционных преступлений уголовным законом (ст.46-1 Уголовного кодекса) установлен иной (специальный) порядок изъятия такого имущества или стоимости незаконно полученных работ (услуг).</w:t>
      </w:r>
    </w:p>
    <w:p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Детализированы в ст.43 закона о борьбе с коррупцией обязанности руководителей государственных органов и иных организаций. Предусмотренная ранее обязанность руководителей принимать в пределах своей компетенции меры по борьбе с коррупцией дополнена обязанностями по предупреждению и выявлению нарушений антикоррупционного законодательства, устранению последствий, </w:t>
      </w:r>
      <w:r w:rsidRPr="0062164E">
        <w:rPr>
          <w:rFonts w:ascii="Times New Roman" w:hAnsi="Times New Roman" w:cs="Times New Roman"/>
          <w:sz w:val="30"/>
          <w:szCs w:val="30"/>
        </w:rPr>
        <w:lastRenderedPageBreak/>
        <w:t>наступивших в результате таких нарушений, а также способствующих им причин и условий.</w:t>
      </w:r>
    </w:p>
    <w:p w:rsidR="0062164E" w:rsidRPr="0062164E" w:rsidRDefault="0062164E" w:rsidP="0062164E">
      <w:pPr>
        <w:spacing w:after="0"/>
        <w:ind w:firstLine="708"/>
        <w:jc w:val="both"/>
        <w:rPr>
          <w:rFonts w:ascii="Times New Roman" w:hAnsi="Times New Roman" w:cs="Times New Roman"/>
          <w:sz w:val="30"/>
          <w:szCs w:val="30"/>
        </w:rPr>
      </w:pPr>
      <w:proofErr w:type="gramStart"/>
      <w:r w:rsidRPr="0062164E">
        <w:rPr>
          <w:rFonts w:ascii="Times New Roman" w:hAnsi="Times New Roman" w:cs="Times New Roman"/>
          <w:sz w:val="30"/>
          <w:szCs w:val="30"/>
        </w:rPr>
        <w:t>Изменения в антикоррупционное законодательство внесены с учетом положений нового закона от 1 июня 2022 года №175-З "О государственной службе", а закон от 17 декабря 1992 года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дополнен новыми основаниями для ограничения</w:t>
      </w:r>
      <w:proofErr w:type="gramEnd"/>
      <w:r w:rsidRPr="0062164E">
        <w:rPr>
          <w:rFonts w:ascii="Times New Roman" w:hAnsi="Times New Roman" w:cs="Times New Roman"/>
          <w:sz w:val="30"/>
          <w:szCs w:val="30"/>
        </w:rPr>
        <w:t xml:space="preserve"> назначения и выплаты пенсии лицам, совершим противоправные деяния.</w:t>
      </w:r>
    </w:p>
    <w:p w:rsidR="006B20CA"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Эти изменения будут способствовать повышению эффективности противодействия коррупции, защите прав и законных интересов граждан.</w:t>
      </w:r>
    </w:p>
    <w:sectPr w:rsidR="006B20CA" w:rsidRPr="0062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4E"/>
    <w:rsid w:val="00076A4E"/>
    <w:rsid w:val="0062164E"/>
    <w:rsid w:val="006B20CA"/>
    <w:rsid w:val="00D7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Наталья В. Северин</cp:lastModifiedBy>
  <cp:revision>2</cp:revision>
  <dcterms:created xsi:type="dcterms:W3CDTF">2023-04-17T05:40:00Z</dcterms:created>
  <dcterms:modified xsi:type="dcterms:W3CDTF">2023-04-17T05:40:00Z</dcterms:modified>
</cp:coreProperties>
</file>